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                                                        Приложение № 1 </w:t>
      </w:r>
      <w:r>
        <w:rPr>
          <w:rFonts w:ascii="Times New Roman" w:hAnsi="Times New Roman"/>
          <w:color w:val="000000"/>
          <w:sz w:val="24"/>
          <w:szCs w:val="24"/>
        </w:rPr>
        <w:t xml:space="preserve">Техническим требованиям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left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416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</w:t>
      </w:r>
      <w:r>
        <w:rPr>
          <w:b/>
          <w:sz w:val="24"/>
          <w:szCs w:val="24"/>
        </w:rPr>
        <w:t xml:space="preserve"> НА ПРОЕКТИРОВАНИЕ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tabs>
          <w:tab w:val="left" w:pos="82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ОКПД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/>
          <w:sz w:val="24"/>
          <w:szCs w:val="24"/>
          <w:highlight w:val="white"/>
        </w:rPr>
        <w:t xml:space="preserve">41.10.10.000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Выпол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нение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проектных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работ по техническому перевооружению оборудования для производства водорода в части замены электролизной установки СЭУ-4М на комплектную модульную установку по выработке газоо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бразного водорода для нужд СП Артемовская ТЭЦ,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в рамках инвестицион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ного проект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R_505АрТЭЦ-14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г. Артем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tabs>
          <w:tab w:val="left" w:pos="82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73" w:type="dxa"/>
        <w:tblInd w:w="-87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fixed"/>
        <w:tblCellMar>
          <w:left w:w="93" w:type="dxa"/>
        </w:tblCellMar>
        <w:tblLook w:val="01E0" w:firstRow="1" w:lastRow="1" w:firstColumn="1" w:lastColumn="1" w:noHBand="0" w:noVBand="0"/>
      </w:tblPr>
      <w:tblGrid>
        <w:gridCol w:w="1068"/>
        <w:gridCol w:w="2420"/>
        <w:gridCol w:w="6785"/>
      </w:tblGrid>
      <w:tr>
        <w:tblPrEx/>
        <w:trPr>
          <w:trHeight w:val="675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pStyle w:val="767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67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pStyle w:val="767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pStyle w:val="767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пояснений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проекта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«Артемовская ТЭЦ»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Замена электролизной установки СЭУ-4М на комплектную модульную установку по выработке газоо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бразного водорода</w:t>
            </w:r>
            <w:r>
              <w:rPr>
                <w:b w:val="0"/>
                <w:bCs w:val="0"/>
                <w:sz w:val="24"/>
                <w:szCs w:val="24"/>
              </w:rPr>
              <w:t xml:space="preserve">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870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расположения Объекта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pStyle w:val="994"/>
              <w:spacing w:beforeAutospacing="0" w:after="0" w:line="240" w:lineRule="auto"/>
            </w:pPr>
            <w:r>
              <w:t xml:space="preserve">Российская Федерация, Приморский край, г. Артем, ул. Каширская, 23, СП «Артемовская ТЭЦ» АО «ДГК»</w:t>
            </w:r>
            <w:r/>
            <w:r/>
            <w:r/>
            <w:r/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Стадийность проектных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pStyle w:val="953"/>
              <w:numPr>
                <w:ilvl w:val="0"/>
                <w:numId w:val="21"/>
              </w:numPr>
              <w:ind w:right="74"/>
              <w:widowControl w:val="off"/>
              <w:tabs>
                <w:tab w:val="left" w:pos="6702" w:leader="none"/>
                <w:tab w:val="left" w:pos="6936" w:leader="none"/>
              </w:tabs>
            </w:pPr>
            <w:r>
              <w:rPr>
                <w:spacing w:val="-5"/>
              </w:rPr>
              <w:t xml:space="preserve">Предпроектное</w:t>
            </w:r>
            <w:r>
              <w:rPr>
                <w:spacing w:val="-5"/>
              </w:rPr>
              <w:t xml:space="preserve"> обследование, сбор исходных данных;</w:t>
            </w:r>
            <w:r/>
          </w:p>
          <w:p>
            <w:pPr>
              <w:pStyle w:val="953"/>
              <w:numPr>
                <w:ilvl w:val="0"/>
                <w:numId w:val="21"/>
              </w:numPr>
              <w:ind w:right="74"/>
              <w:widowControl w:val="off"/>
              <w:tabs>
                <w:tab w:val="left" w:pos="6702" w:leader="none"/>
                <w:tab w:val="left" w:pos="6936" w:leader="none"/>
              </w:tabs>
            </w:pPr>
            <w:r>
              <w:rPr>
                <w:spacing w:val="-5"/>
              </w:rPr>
              <w:t xml:space="preserve">Разработка Проектной документации;</w:t>
            </w:r>
            <w:r/>
          </w:p>
          <w:p>
            <w:pPr>
              <w:pStyle w:val="953"/>
              <w:numPr>
                <w:ilvl w:val="0"/>
                <w:numId w:val="21"/>
              </w:numPr>
              <w:ind w:right="74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</w:rPr>
            </w:pPr>
            <w:r>
              <w:rPr>
                <w:spacing w:val="-5"/>
              </w:rPr>
              <w:t xml:space="preserve">Разработка Рабочей документации (включая сметную документацию);</w:t>
            </w:r>
            <w:r>
              <w:rPr>
                <w:spacing w:val="-5"/>
              </w:rPr>
            </w:r>
            <w:r>
              <w:rPr>
                <w:spacing w:val="-5"/>
              </w:rPr>
            </w:r>
          </w:p>
          <w:p>
            <w:pPr>
              <w:pStyle w:val="953"/>
              <w:numPr>
                <w:ilvl w:val="0"/>
                <w:numId w:val="21"/>
              </w:numPr>
              <w:ind w:right="74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</w:rPr>
            </w:pPr>
            <w:r>
              <w:rPr>
                <w:spacing w:val="-5"/>
              </w:rPr>
              <w:t xml:space="preserve">Получение положительного заключения экспертизы промышленной безопасности.</w:t>
            </w:r>
            <w:r>
              <w:rPr>
                <w:spacing w:val="-5"/>
              </w:rPr>
            </w:r>
            <w:r>
              <w:rPr>
                <w:spacing w:val="-5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строительства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pStyle w:val="953"/>
              <w:ind w:left="6" w:right="74"/>
              <w:widowControl w:val="off"/>
              <w:tabs>
                <w:tab w:val="left" w:pos="6702" w:leader="none"/>
                <w:tab w:val="left" w:pos="6936" w:leader="none"/>
              </w:tabs>
            </w:pPr>
            <w:r>
              <w:t xml:space="preserve">Техническое перевооружение</w:t>
            </w:r>
            <w:r/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Финансирование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pStyle w:val="953"/>
              <w:ind w:left="6" w:right="74"/>
              <w:widowControl w:val="off"/>
              <w:tabs>
                <w:tab w:val="left" w:pos="6702" w:leader="none"/>
                <w:tab w:val="left" w:pos="6936" w:leader="none"/>
              </w:tabs>
            </w:pPr>
            <w:r>
              <w:t xml:space="preserve">Займ</w:t>
            </w:r>
            <w:r>
              <w:t xml:space="preserve"> </w:t>
            </w:r>
            <w:r>
              <w:t xml:space="preserve">РусГидро</w:t>
            </w:r>
            <w:r/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right="74" w:firstLine="0"/>
              <w:spacing w:after="120"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</w:rPr>
              <w:t xml:space="preserve">Замена морально и физически устаревшего оборудован</w:t>
            </w:r>
            <w:r>
              <w:rPr>
                <w:sz w:val="24"/>
                <w:szCs w:val="24"/>
              </w:rPr>
              <w:t xml:space="preserve">ия электролизной установки типа СЭУ-4М для производства газообразного водорода используемого в качестве теплоёмкой охлаждающей среды для турбогенераторов типа ТВФ-100-2 на новую модульную установку для производства газообразного водорода – далее установка.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after="120"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Получение положительного заключения экспертизы промышленной безопасности с целью регистрации ОПО в органах </w:t>
            </w:r>
            <w:r>
              <w:rPr>
                <w:sz w:val="24"/>
                <w:szCs w:val="24"/>
                <w:highlight w:val="white"/>
              </w:rPr>
              <w:t xml:space="preserve">Ростехнадзора</w:t>
            </w:r>
            <w:r>
              <w:rPr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right="74" w:firstLine="0"/>
              <w:spacing w:after="120"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Согласно условий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Исходные данные, предоставляемые Заказчиком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Действующая схема ОПО.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условия на подключения к ресурсам;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Другие данные по запросу.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ru-RU"/>
              </w:rPr>
              <w:t xml:space="preserve">Основные объёмы проектных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  <w:lang w:bidi="ru-RU"/>
              </w:rPr>
              <w:t xml:space="preserve">Проведение </w:t>
            </w:r>
            <w:r>
              <w:rPr>
                <w:spacing w:val="-5"/>
                <w:sz w:val="24"/>
                <w:szCs w:val="24"/>
                <w:highlight w:val="white"/>
                <w:lang w:bidi="ru-RU"/>
              </w:rPr>
              <w:t xml:space="preserve">предпроектного</w:t>
            </w:r>
            <w:r>
              <w:rPr>
                <w:spacing w:val="-5"/>
                <w:sz w:val="24"/>
                <w:szCs w:val="24"/>
                <w:highlight w:val="white"/>
                <w:lang w:bidi="ru-RU"/>
              </w:rPr>
              <w:t xml:space="preserve"> обследования, сбор исходных данных.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На этапе </w:t>
            </w:r>
            <w:r>
              <w:rPr>
                <w:sz w:val="24"/>
                <w:szCs w:val="24"/>
                <w:highlight w:val="white"/>
              </w:rPr>
              <w:t xml:space="preserve">предпроектного</w:t>
            </w:r>
            <w:r>
              <w:rPr>
                <w:sz w:val="24"/>
                <w:szCs w:val="24"/>
                <w:highlight w:val="white"/>
              </w:rPr>
              <w:t xml:space="preserve"> обследования выполнить визуальное обследования существующей схемы, с осмотром точек подключения новой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т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к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</w:rPr>
              <w:t xml:space="preserve"> по конденсату, по водороду, по электропитанию согласно выданных технических условий (ТУ).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Обследования проводятся Подрядчиком самостоятельно, с выездом специалистов на объект. Заказчик обеспечивает доступ на объект и оказывает необходимое содействие в сборе исходных данных.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tabs>
                <w:tab w:val="left" w:pos="540" w:leader="none"/>
                <w:tab w:val="left" w:pos="85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 результаты </w:t>
            </w:r>
            <w:r>
              <w:rPr>
                <w:sz w:val="24"/>
                <w:szCs w:val="24"/>
                <w:highlight w:val="white"/>
              </w:rPr>
              <w:t xml:space="preserve">предпроектного</w:t>
            </w:r>
            <w:r>
              <w:rPr>
                <w:sz w:val="24"/>
                <w:szCs w:val="24"/>
                <w:highlight w:val="white"/>
              </w:rPr>
              <w:t xml:space="preserve"> обследования определить трассировку сетей подключения установки к точкам подключения согласно выданных ТУ и согласовать с Заказчиком.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Разработка Проектной документации в объеме необходимом и достаточном для прохождения экспертизы промышленной безопасности.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Разработка Рабочей документации, выполняется в объеме на основании разработанной </w:t>
            </w:r>
            <w:r>
              <w:rPr>
                <w:sz w:val="24"/>
                <w:szCs w:val="24"/>
                <w:highlight w:val="white"/>
              </w:rPr>
              <w:t xml:space="preserve">Проектной документации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Разработка сметной документации только в составе </w:t>
            </w:r>
            <w:r>
              <w:rPr>
                <w:sz w:val="24"/>
                <w:szCs w:val="24"/>
                <w:highlight w:val="white"/>
              </w:rPr>
              <w:t xml:space="preserve">Рабочей документации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ru-RU"/>
              </w:rPr>
              <w:t xml:space="preserve">Основные параметры и назначение проектируемого объекта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Тип сооружения – </w:t>
            </w:r>
            <w:r>
              <w:rPr>
                <w:spacing w:val="-5"/>
                <w:sz w:val="24"/>
                <w:szCs w:val="24"/>
                <w:highlight w:val="white"/>
              </w:rPr>
              <w:t xml:space="preserve">Блочно</w:t>
            </w:r>
            <w:r>
              <w:rPr>
                <w:spacing w:val="-5"/>
                <w:sz w:val="24"/>
                <w:szCs w:val="24"/>
                <w:highlight w:val="white"/>
              </w:rPr>
              <w:t xml:space="preserve">-модульная установка заводского изготовления;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Назначение проектируемого объекта – выработка водорода для последующей подачи в ресиверы с целью охлаждения турбоагрегатов Артемовской ТЭЦ, производительность</w:t>
            </w:r>
            <w:r>
              <w:rPr>
                <w:spacing w:val="-5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от минимального - 1 м3/час до максимального 6 м3/час (или выше 6 м3/час) 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Рабочее давление  – 1,0 Мпа;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Расчетное давление стенок оборудования – 1,035 Мпа;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non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Рабочая температура – от 5 до 85 С;</w:t>
            </w:r>
            <w:r>
              <w:rPr>
                <w:spacing w:val="-5"/>
                <w:sz w:val="24"/>
                <w:szCs w:val="24"/>
                <w:highlight w:val="none"/>
              </w:rPr>
            </w:r>
            <w:r>
              <w:rPr>
                <w:spacing w:val="-5"/>
                <w:sz w:val="24"/>
                <w:szCs w:val="24"/>
                <w:highlight w:val="non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white"/>
              </w:rPr>
              <w:t xml:space="preserve">Т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ч</w:t>
            </w:r>
            <w:r>
              <w:rPr>
                <w:sz w:val="24"/>
                <w:szCs w:val="24"/>
                <w:highlight w:val="white"/>
              </w:rPr>
              <w:t xml:space="preserve">к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ы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м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ы</w:t>
            </w:r>
            <w:r>
              <w:rPr>
                <w:sz w:val="24"/>
                <w:szCs w:val="24"/>
                <w:highlight w:val="white"/>
              </w:rPr>
              <w:t xml:space="preserve">х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т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к</w:t>
            </w:r>
            <w:r>
              <w:rPr>
                <w:sz w:val="24"/>
                <w:szCs w:val="24"/>
                <w:highlight w:val="white"/>
              </w:rPr>
              <w:t xml:space="preserve">и -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ы</w:t>
            </w:r>
            <w:r>
              <w:rPr>
                <w:sz w:val="24"/>
                <w:szCs w:val="24"/>
                <w:highlight w:val="white"/>
              </w:rPr>
              <w:t xml:space="preserve">ш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м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non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Минимально допустимая температура стенок оборудования, находящегося под расчетным давлением – 5 С;</w:t>
            </w:r>
            <w:r>
              <w:rPr>
                <w:spacing w:val="-5"/>
                <w:sz w:val="24"/>
                <w:szCs w:val="24"/>
                <w:highlight w:val="none"/>
              </w:rPr>
            </w:r>
            <w:r>
              <w:rPr>
                <w:spacing w:val="-5"/>
                <w:sz w:val="24"/>
                <w:szCs w:val="24"/>
                <w:highlight w:val="non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Чистота производимого водорода не ниже 99,5%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Категория помещения по </w:t>
            </w:r>
            <w:r>
              <w:rPr>
                <w:spacing w:val="-5"/>
                <w:sz w:val="24"/>
                <w:szCs w:val="24"/>
                <w:highlight w:val="white"/>
              </w:rPr>
              <w:t xml:space="preserve">взрывопожароопасности</w:t>
            </w:r>
            <w:r>
              <w:rPr>
                <w:spacing w:val="-5"/>
                <w:sz w:val="24"/>
                <w:szCs w:val="24"/>
                <w:highlight w:val="white"/>
              </w:rPr>
              <w:t xml:space="preserve"> – В4;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Конструкции опор под трубопроводы – согласовать в ходе проектирования;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Конструкция покровного слоя трубопроводов - согласовать в ходе проектирования;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right="74"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</w:rPr>
              <w:t xml:space="preserve">Конструкция антикоррозионного покрытия наружной поверхности металлоконструкций и проектируемых трубопроводов - согласовать в ходе проектирования;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pStyle w:val="994"/>
              <w:contextualSpacing/>
              <w:ind w:left="-57" w:right="-57"/>
              <w:spacing w:before="280" w:after="0" w:line="240" w:lineRule="auto"/>
              <w:rPr>
                <w:spacing w:val="-5"/>
                <w:highlight w:val="white"/>
              </w:rPr>
            </w:pPr>
            <w:r>
              <w:rPr>
                <w:spacing w:val="-5"/>
                <w:highlight w:val="white"/>
              </w:rPr>
              <w:t xml:space="preserve">Запорная трубопроводная арматура – в качестве запорной трубопроводной арматуры принять стальную запорную арматуру из необслуживаемых шаровых кранов и затворов условное давление </w:t>
            </w:r>
            <w:r>
              <w:rPr>
                <w:spacing w:val="-5"/>
                <w:highlight w:val="white"/>
              </w:rPr>
              <w:t xml:space="preserve">Ру</w:t>
            </w:r>
            <w:r>
              <w:rPr>
                <w:spacing w:val="-5"/>
                <w:highlight w:val="white"/>
              </w:rPr>
              <w:t xml:space="preserve">=25 кгс/см². </w:t>
            </w:r>
            <w:r>
              <w:rPr>
                <w:spacing w:val="-5"/>
                <w:highlight w:val="white"/>
              </w:rPr>
            </w:r>
            <w:r>
              <w:rPr>
                <w:spacing w:val="-5"/>
                <w:highlight w:val="white"/>
              </w:rPr>
            </w:r>
          </w:p>
          <w:p>
            <w:pPr>
              <w:pStyle w:val="994"/>
              <w:contextualSpacing/>
              <w:ind w:left="-57" w:right="-57"/>
              <w:spacing w:before="280" w:after="0" w:line="240" w:lineRule="auto"/>
              <w:rPr>
                <w:spacing w:val="-5"/>
                <w:highlight w:val="white"/>
              </w:rPr>
            </w:pPr>
            <w:r>
              <w:rPr>
                <w:spacing w:val="-5"/>
                <w:highlight w:val="white"/>
              </w:rPr>
              <w:t xml:space="preserve">Армату</w:t>
            </w:r>
            <w:r>
              <w:rPr>
                <w:spacing w:val="-5"/>
                <w:highlight w:val="white"/>
              </w:rPr>
              <w:t xml:space="preserve">ра должна соответствовать: ГОСТ 12.2.063-2015 «Арматура трубопроводная. Общие требования безопасности». РД 153 - 34.1 - 39.504-00 «Общие технические требования к арматуре ТЭС». ГОСТ Р56001-2014 «Арматура трубопроводная для объектов газовой промышленности».</w:t>
            </w:r>
            <w:r>
              <w:rPr>
                <w:spacing w:val="-5"/>
                <w:highlight w:val="white"/>
              </w:rPr>
            </w:r>
            <w:r>
              <w:rPr>
                <w:spacing w:val="-5"/>
                <w:highlight w:val="white"/>
              </w:rPr>
            </w:r>
          </w:p>
          <w:p>
            <w:pPr>
              <w:pStyle w:val="994"/>
              <w:contextualSpacing/>
              <w:ind w:left="-57" w:right="-57"/>
              <w:spacing w:before="280" w:after="0" w:line="240" w:lineRule="auto"/>
              <w:rPr>
                <w:spacing w:val="-5"/>
                <w:highlight w:val="white"/>
              </w:rPr>
            </w:pPr>
            <w:r>
              <w:rPr>
                <w:spacing w:val="-5"/>
                <w:highlight w:val="white"/>
              </w:rPr>
              <w:t xml:space="preserve">Границы проектирования: в границах ЗУ с кадастровым номером </w:t>
            </w:r>
            <w:r>
              <w:rPr>
                <w:spacing w:val="-5"/>
                <w:highlight w:val="white"/>
              </w:rPr>
              <w:t xml:space="preserve">2</w:t>
            </w:r>
            <w:r>
              <w:rPr>
                <w:spacing w:val="-5"/>
                <w:highlight w:val="white"/>
              </w:rPr>
              <w:t xml:space="preserve">5</w:t>
            </w:r>
            <w:r>
              <w:rPr>
                <w:spacing w:val="-5"/>
                <w:highlight w:val="white"/>
              </w:rPr>
              <w:t xml:space="preserve">:</w:t>
            </w:r>
            <w:r>
              <w:rPr>
                <w:spacing w:val="-5"/>
                <w:highlight w:val="white"/>
              </w:rPr>
              <w:t xml:space="preserve">2</w:t>
            </w:r>
            <w:r>
              <w:rPr>
                <w:spacing w:val="-5"/>
                <w:highlight w:val="white"/>
              </w:rPr>
              <w:t xml:space="preserve">7</w:t>
            </w:r>
            <w:r>
              <w:rPr>
                <w:spacing w:val="-5"/>
                <w:highlight w:val="white"/>
              </w:rPr>
              <w:t xml:space="preserve">:</w:t>
            </w:r>
            <w:r>
              <w:rPr>
                <w:spacing w:val="-5"/>
                <w:highlight w:val="white"/>
              </w:rPr>
              <w:t xml:space="preserve">1</w:t>
            </w:r>
            <w:r>
              <w:rPr>
                <w:spacing w:val="-5"/>
                <w:highlight w:val="white"/>
              </w:rPr>
              <w:t xml:space="preserve">0</w:t>
            </w:r>
            <w:r>
              <w:rPr>
                <w:spacing w:val="-5"/>
                <w:highlight w:val="white"/>
              </w:rPr>
              <w:t xml:space="preserve">0</w:t>
            </w:r>
            <w:r>
              <w:rPr>
                <w:spacing w:val="-5"/>
                <w:highlight w:val="white"/>
              </w:rPr>
              <w:t xml:space="preserve">1</w:t>
            </w:r>
            <w:r>
              <w:rPr>
                <w:spacing w:val="-5"/>
                <w:highlight w:val="white"/>
              </w:rPr>
              <w:t xml:space="preserve">0</w:t>
            </w:r>
            <w:r>
              <w:rPr>
                <w:spacing w:val="-5"/>
                <w:highlight w:val="white"/>
              </w:rPr>
              <w:t xml:space="preserve">1</w:t>
            </w:r>
            <w:r>
              <w:rPr>
                <w:spacing w:val="-5"/>
                <w:highlight w:val="white"/>
              </w:rPr>
              <w:t xml:space="preserve">:</w:t>
            </w:r>
            <w:r>
              <w:rPr>
                <w:spacing w:val="-5"/>
                <w:highlight w:val="white"/>
              </w:rPr>
              <w:t xml:space="preserve">6</w:t>
            </w:r>
            <w:r>
              <w:rPr>
                <w:spacing w:val="-5"/>
                <w:highlight w:val="white"/>
              </w:rPr>
              <w:t xml:space="preserve">6</w:t>
            </w:r>
            <w:r>
              <w:rPr>
                <w:spacing w:val="-5"/>
                <w:highlight w:val="white"/>
              </w:rPr>
              <w:t xml:space="preserve">6</w:t>
            </w:r>
            <w:r>
              <w:rPr>
                <w:spacing w:val="-5"/>
                <w:highlight w:val="white"/>
              </w:rPr>
            </w:r>
            <w:r>
              <w:rPr>
                <w:spacing w:val="-5"/>
                <w:highlight w:val="white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ru-RU"/>
              </w:rPr>
              <w:t xml:space="preserve">Проведение </w:t>
            </w:r>
            <w:r>
              <w:rPr>
                <w:sz w:val="24"/>
                <w:szCs w:val="24"/>
                <w:highlight w:val="white"/>
                <w:lang w:bidi="ru-RU"/>
              </w:rPr>
              <w:t xml:space="preserve">предпроектного</w:t>
            </w:r>
            <w:r>
              <w:rPr>
                <w:sz w:val="24"/>
                <w:szCs w:val="24"/>
                <w:highlight w:val="white"/>
                <w:lang w:bidi="ru-RU"/>
              </w:rPr>
              <w:t xml:space="preserve"> обследования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pStyle w:val="994"/>
              <w:contextualSpacing/>
              <w:ind w:left="-57" w:right="-57"/>
              <w:spacing w:before="280" w:after="0" w:line="240" w:lineRule="auto"/>
              <w:rPr>
                <w:spacing w:val="-5"/>
                <w:highlight w:val="white"/>
              </w:rPr>
            </w:pPr>
            <w:r>
              <w:rPr>
                <w:spacing w:val="-5"/>
                <w:highlight w:val="white"/>
              </w:rPr>
              <w:t xml:space="preserve">1.</w:t>
            </w:r>
            <w:r>
              <w:rPr>
                <w:spacing w:val="-5"/>
                <w:highlight w:val="white"/>
              </w:rPr>
              <w:t xml:space="preserve"> </w:t>
            </w:r>
            <w:r>
              <w:rPr>
                <w:spacing w:val="-5"/>
                <w:highlight w:val="white"/>
              </w:rPr>
              <w:t xml:space="preserve">Провести в объеме необходимом для разработки проекта, о</w:t>
            </w:r>
            <w:r>
              <w:rPr>
                <w:spacing w:val="-5"/>
                <w:highlight w:val="white"/>
              </w:rPr>
              <w:t xml:space="preserve">пределить место для размещения  установки, определить  </w:t>
            </w:r>
            <w:r>
              <w:rPr>
                <w:spacing w:val="-5"/>
                <w:highlight w:val="white"/>
              </w:rPr>
              <w:t xml:space="preserve"> трассировку инженерных сетей </w:t>
            </w:r>
            <w:r>
              <w:rPr>
                <w:spacing w:val="-5"/>
                <w:highlight w:val="white"/>
              </w:rPr>
              <w:t xml:space="preserve">для ее подключения</w:t>
            </w:r>
            <w:r>
              <w:rPr>
                <w:spacing w:val="-5"/>
                <w:highlight w:val="white"/>
              </w:rPr>
              <w:t xml:space="preserve">.</w:t>
            </w:r>
            <w:r>
              <w:rPr>
                <w:spacing w:val="-5"/>
                <w:highlight w:val="white"/>
              </w:rPr>
            </w:r>
            <w:r>
              <w:rPr>
                <w:spacing w:val="-5"/>
                <w:highlight w:val="white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lang w:bidi="ru-RU"/>
              </w:rPr>
              <w:t xml:space="preserve">Требования к проектной документации (Стадия П)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pStyle w:val="994"/>
              <w:spacing w:before="280" w:after="0" w:line="240" w:lineRule="auto"/>
            </w:pPr>
            <w:r>
              <w:t xml:space="preserve">1. Состав проектной документации по Объекту разрабатывается в объеме необходимом для прохождения экспертизы промышленной безоп</w:t>
            </w:r>
            <w:r>
              <w:t xml:space="preserve">асности. Содержание текстовой и графической частей разрабатываемых разделов проектной документации должно соответствовать требованиям постановления Правительства РФ №87 от 16.02.2008 «О составе разделов проектной документации и требования к их содержанию».</w:t>
            </w:r>
            <w:r/>
          </w:p>
          <w:p>
            <w:pPr>
              <w:pStyle w:val="994"/>
              <w:contextualSpacing/>
              <w:spacing w:before="280" w:after="0" w:line="240" w:lineRule="auto"/>
            </w:pPr>
            <w:r>
              <w:t xml:space="preserve">2. Обеспечить согласование проектной документации с Заказчиком до передачи в организацию экспертизы.</w:t>
            </w:r>
            <w:r/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Требования к рабочей документации (Стадия Р)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1. Состав рабочей документации должен отвечать требованиям ГОСТ Р 21.101-2020 «Система проектной документации для строительства. Основные требования к проектной и рабочей документации».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 Объем рабочей документации должен быть достаточным для заказа (изготовления) оборудования и материалов и проведения строительно-монтажных работ.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3. Рабочая документация выполняется по разработанной проектной документации (Стадия П) прошедшей экспертизу промышленной безопасности.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4. В составе рабочей документации учесть разработку необходимых комплектов чертежей, планов расположения оборудования,  спецификации оборудования.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widowControl w:val="off"/>
              <w:tabs>
                <w:tab w:val="left" w:pos="6702" w:leader="none"/>
                <w:tab w:val="left" w:pos="6936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5. В составе прилагаемых документов к рабочей документации разработать сметную документацию.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pStyle w:val="994"/>
              <w:spacing w:before="280" w:after="0" w:line="240" w:lineRule="auto"/>
            </w:pPr>
            <w:r>
              <w:t xml:space="preserve">Проведение экспертизы промышленной безопасности</w:t>
            </w:r>
            <w:r/>
          </w:p>
          <w:p>
            <w:pPr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pStyle w:val="994"/>
              <w:ind w:right="62" w:firstLine="6"/>
              <w:spacing w:before="280" w:after="0" w:line="240" w:lineRule="auto"/>
            </w:pPr>
            <w:r>
              <w:t xml:space="preserve">Подрядчик должен предоставить Заказчику положительное заключение по результатам прохождения экспертизы промышленной безопасности проектной документации.</w:t>
            </w:r>
            <w:r/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Особые условия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Документацию  выполнить с учетом  Федерального  закона  от 22.07.2008 № 123-ФЗ «Технический регламент о требованиях пожарной безопасности».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1. Проектную и рабочую и сметную документацию (ПД, РД, СД) согласовать в требуемом объеме с Заказчиком.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2. Не допускается указание Подрядчиком в документации, в том числе спецификациях, материалов и изделий конкретных производителей. Указываются только тип, марка, и характеристики материалов и изделий.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3. Заказчик в части своей компетенции предоставляет необходимые исходные да</w:t>
            </w:r>
            <w:r>
              <w:rPr>
                <w:sz w:val="24"/>
                <w:szCs w:val="24"/>
                <w:lang w:bidi="ru-RU"/>
              </w:rPr>
              <w:t xml:space="preserve">нные для выполнения работ по запросу Подрядчика в согласованные сроки. Остальные исходные данные и согласования, в том числе у третьих лиц, а также в органах исполнительной власти и других организациях запрашиваются Подрядчиком самостоятельно за свой счет.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4. Особые требования Заказчика, неучтенные заданием или возникшие в ходе разработки проектной/рабочей документации оговариваются с подрядчиком на технических совещаниях с оформлением протокола.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5. При направл</w:t>
            </w:r>
            <w:r>
              <w:rPr>
                <w:sz w:val="24"/>
                <w:szCs w:val="24"/>
                <w:lang w:bidi="ru-RU"/>
              </w:rPr>
              <w:t xml:space="preserve">ении откорректированных материалов ПД, РД, СД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6. В проектной/рабочей документации должны использоваться диспетчерские наименования объектов.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7. Все замечания эксперт</w:t>
            </w:r>
            <w:r>
              <w:rPr>
                <w:sz w:val="24"/>
                <w:szCs w:val="24"/>
                <w:lang w:bidi="ru-RU"/>
              </w:rPr>
              <w:t xml:space="preserve">ных и надзорных органов, а также несоответствия проектной документации и проектных решений требованиям нормативных и законодательных актов, устраняются Подрядчиком за счет собственных средств, с внесением необходимых исправлений и изменений в документацию.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8. Регистрация Объекта ОПО в органах </w:t>
            </w:r>
            <w:r>
              <w:rPr>
                <w:sz w:val="24"/>
                <w:szCs w:val="24"/>
                <w:lang w:bidi="ru-RU"/>
              </w:rPr>
              <w:t xml:space="preserve">Ростехнадзора</w:t>
            </w:r>
            <w:r>
              <w:rPr>
                <w:sz w:val="24"/>
                <w:szCs w:val="24"/>
                <w:lang w:bidi="ru-RU"/>
              </w:rPr>
              <w:t xml:space="preserve"> осуществляется силами Заказчика после получения от Подрядчика положительного заключения экспертизы промышленной безопасности.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Требования к подготовке сметной документации в составе рабочей</w:t>
            </w:r>
            <w:bookmarkStart w:id="0" w:name="undefined"/>
            <w:r>
              <w:rPr>
                <w:sz w:val="24"/>
                <w:szCs w:val="24"/>
                <w:lang w:bidi="ru-RU"/>
              </w:rPr>
              <w:t xml:space="preserve">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1. Разработка сметной документации осуществляется при заключении и исполнении договора в соответствии со следующими требованиями: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Цена проектно-изыскат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ельских работ Подрядчика формируется с применением «Справочников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регионального развития РФ от 29.12.2009 № 620 (далее-МУ) и  «Методического пособия по определению стоимости инженерных изысканий для строительства», утвержденного письмом Госстроя России от 31.03.2004 № НЗ-2078/10 или иных актуальных методических указаний.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Индексы перевода в текущие цены учитывать на основании: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данных Министерства строительства и ЖКХ РФ, публикуемых на момент формирования сметной документации.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При определении стоимости изыскательских работ по согласованию с Заказчиком возможно применять следующие коэффициенты в соответствии с письмом ПАО «ПНИИИС» от 03.04.2014 №11/298: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• 1,2 –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 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В случае отсутствия в сметных но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3п) по согласованию с Заказчиком.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Командировочные расходы, учтенные в смете, подтверждаются отдельным расчетом. Лимиты командировочных расходов при производстве ПИР: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3"/>
              <w:numPr>
                <w:ilvl w:val="0"/>
                <w:numId w:val="22"/>
              </w:numPr>
              <w:shd w:val="clear" w:color="auto" w:fill="ffffff"/>
              <w:tabs>
                <w:tab w:val="left" w:pos="1361" w:leader="none"/>
              </w:tabs>
              <w:rPr>
                <w:spacing w:val="-5"/>
              </w:rPr>
            </w:pPr>
            <w:r>
              <w:rPr>
                <w:spacing w:val="-5"/>
                <w:lang w:bidi="ru-RU"/>
              </w:rPr>
              <w:t xml:space="preserve">суточные - 500 руб./сутки;</w:t>
            </w:r>
            <w:r>
              <w:rPr>
                <w:spacing w:val="-5"/>
              </w:rPr>
            </w:r>
            <w:r>
              <w:rPr>
                <w:spacing w:val="-5"/>
              </w:rPr>
            </w:r>
          </w:p>
          <w:p>
            <w:pPr>
              <w:pStyle w:val="953"/>
              <w:numPr>
                <w:ilvl w:val="0"/>
                <w:numId w:val="22"/>
              </w:numPr>
              <w:shd w:val="clear" w:color="auto" w:fill="ffffff"/>
              <w:tabs>
                <w:tab w:val="left" w:pos="1361" w:leader="none"/>
              </w:tabs>
              <w:rPr>
                <w:spacing w:val="-5"/>
              </w:rPr>
            </w:pPr>
            <w:r>
              <w:rPr>
                <w:spacing w:val="-5"/>
                <w:lang w:bidi="ru-RU"/>
              </w:rPr>
              <w:t xml:space="preserve">проживание не более 5000 руб./сутки;</w:t>
            </w:r>
            <w:r>
              <w:rPr>
                <w:spacing w:val="-5"/>
              </w:rPr>
            </w:r>
            <w:r>
              <w:rPr>
                <w:spacing w:val="-5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 В составе рабочей документации сметы на СМР формировать по следующим критериям: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2.1. При составлении сметно</w:t>
            </w:r>
            <w:bookmarkEnd w:id="0"/>
            <w:r>
              <w:rPr>
                <w:spacing w:val="-5"/>
                <w:sz w:val="24"/>
                <w:szCs w:val="24"/>
                <w:lang w:bidi="ru-RU"/>
              </w:rPr>
              <w:t xml:space="preserve">й документации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2.2. Стоимость работ определить ресурсно-индексным - с использо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ванием сметных норм и цен, сведения о которых включены в ФРСН. Сметная стоимость строительства, определенная с применением ресурсно-индексного метода, приводится в локальных сметных расчетах (далее – ЛСР), локальных сметах (далее -ЛС) в текущем уровне цен.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– при расчете сметной стоимости, сметную прибыль принять 40% от ФОТ для СМР.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– при расчете сметной стоимости, сметную прибыль принять 36% от ФОТ для ПНР.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2.3. Командировочные затраты предусмотреть в размере 3,74% от итогов глав 1-9 без учёта стоимости оборудования.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2.4. Величину резерва средств на непредвиденные работы и затраты принимать в размере 3%.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2.5. При отсутствии в сборнике Ф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СБЦ действующей сметно-нормативной базы данных о сметных ценах на отдельные материалы и оборудование, определить их сметную стоимость по наиболее экономичному варианту, с предоставлением данных по трем поставщикам аналогичной продукции, определенному на ос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нове конъюнктурного анализа цен, с максимальным учётом всех сопутствующих затрат. Результаты конъюнктурного анализа оформляются в сводную таблицу результатов конъюнктурного анализа цен, с приложением обоснования цен (коммерческие предложения, прайс-листы).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2.6.  Применяемые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ценообразующие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 документы согласовать с Заказчиком.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>
          <w:trHeight w:val="4079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Количество экземпляров документации, выдаваемые Заказчику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1. Количество передаваемой документации ‒ 4 экземпляра на бумажном носителе, два экземпляра в электронном виде на электронном носителе.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2. Формат передаваемой в электронном виде документации: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текстовая часть –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docx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,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pdf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 («ПОС» обязательно и в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pdf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 и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docx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) с подписями на титульных листах;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графическая часть –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dwg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,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pdf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,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tiff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,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cdw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;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таблицы данных –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pdf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,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docx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,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xlsx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;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сметные расчеты – в формате ПК «Гранд-Смета» ‒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gsfx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, –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xlsx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Не допускается передача документации в указанных форматах с пофайловым разделением страниц.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3. 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интерфейсом: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таблицы данных –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docx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 ,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xlsx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;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презентационные материалы –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pptx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10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12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242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Перечень обязательной к применению нормативно-технической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93" w:type="dxa"/>
              <w:top w:w="0" w:type="dxa"/>
              <w:right w:w="108" w:type="dxa"/>
              <w:bottom w:w="0" w:type="dxa"/>
            </w:tcMar>
            <w:tcW w:w="6785" w:type="dxa"/>
            <w:vAlign w:val="center"/>
            <w:textDirection w:val="lrTb"/>
            <w:noWrap w:val="false"/>
          </w:tcPr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документация и рабочая документация должна соответствовать требованиям действующих нормативных документов по строительству, а также ведомственным и прочим документам, в т. ч.: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Градостроительный кодекс Российской Федерации от 29.12.2004 № 190-ФЗ.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Федеральный закон РФ от 21.07.1997 № 116-ФЗ «О промышленной безопасности опасных производственных объектов».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Постановление Правительства Российской Федерации от 16 февраля 2008 года №87 «О составе разделов проектной документации и требованиях к их содержанию».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Правила технической эксплуатации электрических станций и сетей РФ (Утверждены Приказом Минэнерго России №1070 от 04.10.2022, зарегистрированы Минюстом РФ №71384 от 06.12.2022).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ГОСТ 21.101-2021 «Основные требования к проектной и рабочей документации».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ГОСТ Р 27.102-2021 Надежность в технике. Термины и определения.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ГОСТ 27772-2021 Прокат для строительных стальных конструкций. Общие технические условия.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СП 131.13330.2020. Свод правил. Строительная климатология.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СП 47.13330.2016. Свод правил. Инженерные изыскания для строительства. Основные положения.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СНиП 12-03-2001. Безопасность труда в строительстве. Часть 1. Общие требования.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СНиП 12-04-2002. Безопасность труда в строительстве. Часть 2. Строительное производство.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СП 28.13330.2017. Защита строительных конструкций от коррозии.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СНиП 12-01-2004 от 20.05.2011 Свод правил. Организация строительства.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РД 34.03.201-97* Правила техники безопасности при эксплуатации тепломеханического оборудования электростанций и тепловых сетей Российской Федерации.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РД 153-34.0-03.301-00 (ВППБ 01-02-95*) Правила пожарной безопасности для энергетических предприятий.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перечне.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ТУ 3614-001-84526894-2008 «Установки электролизные с комплектующим оборудованием. Технические условия», утверждены 15.05.2008г.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 34347-2017 «Сосуды и аппараты стальные сварные. Общие технические условия», утвержден 14.12.2017г.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tabs>
                <w:tab w:val="left" w:pos="237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ФЕДЕРАЛЬНЫЕ НОРМЫ И ПРАВИЛА в области промышленной безопасности «Правила промышленной безопасности при использовании оборудования, работающего под избыточным давление», утверждены 15.12.2020г.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trHeight w:val="276"/>
        </w:trPr>
        <w:tc>
          <w:tcPr>
            <w:tcW w:w="4785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86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hanging="58"/>
              <w:keepLines/>
              <w:spacing w:line="240" w:lineRule="auto"/>
              <w:rPr>
                <w:sz w:val="24"/>
                <w:szCs w:val="24"/>
              </w:rPr>
              <w:suppressLineNumbers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«_____»__________2026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«_____»__________2026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right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</w:pPr>
      <w:r/>
      <w:bookmarkStart w:id="1" w:name="_GoBack"/>
      <w:r/>
      <w:bookmarkEnd w:id="1"/>
      <w:r/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10</w:t>
    </w:r>
    <w:r>
      <w:rPr>
        <w:sz w:val="24"/>
        <w:szCs w:val="24"/>
      </w:rPr>
      <w:fldChar w:fldCharType="end"/>
    </w:r>
    <w:r/>
  </w:p>
  <w:p>
    <w:pPr>
      <w:pStyle w:val="96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98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85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86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87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95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55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56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pStyle w:val="96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6"/>
  </w:num>
  <w:num w:numId="3">
    <w:abstractNumId w:val="6"/>
  </w:num>
  <w:num w:numId="4">
    <w:abstractNumId w:val="2"/>
  </w:num>
  <w:num w:numId="5">
    <w:abstractNumId w:val="3"/>
  </w:num>
  <w:num w:numId="6">
    <w:abstractNumId w:val="22"/>
  </w:num>
  <w:num w:numId="7">
    <w:abstractNumId w:val="13"/>
  </w:num>
  <w:num w:numId="8">
    <w:abstractNumId w:val="9"/>
  </w:num>
  <w:num w:numId="9">
    <w:abstractNumId w:val="25"/>
  </w:num>
  <w:num w:numId="10">
    <w:abstractNumId w:val="21"/>
  </w:num>
  <w:num w:numId="11">
    <w:abstractNumId w:val="1"/>
  </w:num>
  <w:num w:numId="12">
    <w:abstractNumId w:val="12"/>
  </w:num>
  <w:num w:numId="13">
    <w:abstractNumId w:val="4"/>
  </w:num>
  <w:num w:numId="14">
    <w:abstractNumId w:val="15"/>
  </w:num>
  <w:num w:numId="15">
    <w:abstractNumId w:val="17"/>
  </w:num>
  <w:num w:numId="16">
    <w:abstractNumId w:val="18"/>
  </w:num>
  <w:num w:numId="17">
    <w:abstractNumId w:val="24"/>
  </w:num>
  <w:num w:numId="18">
    <w:abstractNumId w:val="19"/>
  </w:num>
  <w:num w:numId="19">
    <w:abstractNumId w:val="20"/>
  </w:num>
  <w:num w:numId="20">
    <w:abstractNumId w:val="10"/>
  </w:num>
  <w:num w:numId="21">
    <w:abstractNumId w:val="23"/>
  </w:num>
  <w:num w:numId="22">
    <w:abstractNumId w:val="7"/>
  </w:num>
  <w:num w:numId="23">
    <w:abstractNumId w:val="14"/>
  </w:num>
  <w:num w:numId="24">
    <w:abstractNumId w:val="11"/>
  </w:num>
  <w:num w:numId="25">
    <w:abstractNumId w:val="0"/>
  </w:num>
  <w:num w:numId="26">
    <w:abstractNumId w:val="8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6">
    <w:name w:val="Heading 4 Char"/>
    <w:basedOn w:val="776"/>
    <w:link w:val="77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>
    <w:name w:val="Heading 5 Char"/>
    <w:basedOn w:val="776"/>
    <w:link w:val="771"/>
    <w:uiPriority w:val="9"/>
    <w:rPr>
      <w:rFonts w:ascii="Arial" w:hAnsi="Arial" w:eastAsia="Arial" w:cs="Arial"/>
      <w:b/>
      <w:bCs/>
      <w:sz w:val="24"/>
      <w:szCs w:val="24"/>
    </w:rPr>
  </w:style>
  <w:style w:type="character" w:styleId="758">
    <w:name w:val="Heading 6 Char"/>
    <w:basedOn w:val="776"/>
    <w:link w:val="772"/>
    <w:uiPriority w:val="9"/>
    <w:rPr>
      <w:rFonts w:ascii="Arial" w:hAnsi="Arial" w:eastAsia="Arial" w:cs="Arial"/>
      <w:b/>
      <w:bCs/>
      <w:sz w:val="22"/>
      <w:szCs w:val="22"/>
    </w:rPr>
  </w:style>
  <w:style w:type="character" w:styleId="759">
    <w:name w:val="Heading 7 Char"/>
    <w:basedOn w:val="776"/>
    <w:link w:val="7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>
    <w:name w:val="Heading 8 Char"/>
    <w:basedOn w:val="776"/>
    <w:link w:val="774"/>
    <w:uiPriority w:val="9"/>
    <w:rPr>
      <w:rFonts w:ascii="Arial" w:hAnsi="Arial" w:eastAsia="Arial" w:cs="Arial"/>
      <w:i/>
      <w:iCs/>
      <w:sz w:val="22"/>
      <w:szCs w:val="22"/>
    </w:rPr>
  </w:style>
  <w:style w:type="character" w:styleId="761">
    <w:name w:val="Heading 9 Char"/>
    <w:basedOn w:val="776"/>
    <w:link w:val="775"/>
    <w:uiPriority w:val="9"/>
    <w:rPr>
      <w:rFonts w:ascii="Arial" w:hAnsi="Arial" w:eastAsia="Arial" w:cs="Arial"/>
      <w:i/>
      <w:iCs/>
      <w:sz w:val="21"/>
      <w:szCs w:val="21"/>
    </w:rPr>
  </w:style>
  <w:style w:type="character" w:styleId="762">
    <w:name w:val="Subtitle Char"/>
    <w:basedOn w:val="776"/>
    <w:link w:val="790"/>
    <w:uiPriority w:val="11"/>
    <w:rPr>
      <w:sz w:val="24"/>
      <w:szCs w:val="24"/>
    </w:rPr>
  </w:style>
  <w:style w:type="character" w:styleId="763">
    <w:name w:val="Quote Char"/>
    <w:link w:val="792"/>
    <w:uiPriority w:val="29"/>
    <w:rPr>
      <w:i/>
    </w:rPr>
  </w:style>
  <w:style w:type="character" w:styleId="764">
    <w:name w:val="Intense Quote Char"/>
    <w:link w:val="794"/>
    <w:uiPriority w:val="30"/>
    <w:rPr>
      <w:i/>
    </w:rPr>
  </w:style>
  <w:style w:type="character" w:styleId="765">
    <w:name w:val="Header Char"/>
    <w:basedOn w:val="776"/>
    <w:link w:val="938"/>
    <w:uiPriority w:val="99"/>
  </w:style>
  <w:style w:type="paragraph" w:styleId="766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767">
    <w:name w:val="Heading 1"/>
    <w:basedOn w:val="766"/>
    <w:next w:val="766"/>
    <w:link w:val="97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68">
    <w:name w:val="Heading 2"/>
    <w:basedOn w:val="766"/>
    <w:next w:val="766"/>
    <w:link w:val="97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769">
    <w:name w:val="Heading 3"/>
    <w:basedOn w:val="766"/>
    <w:next w:val="766"/>
    <w:link w:val="952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770">
    <w:name w:val="Heading 4"/>
    <w:basedOn w:val="766"/>
    <w:next w:val="766"/>
    <w:link w:val="7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1">
    <w:name w:val="Heading 5"/>
    <w:basedOn w:val="766"/>
    <w:next w:val="766"/>
    <w:link w:val="7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72">
    <w:name w:val="Heading 6"/>
    <w:basedOn w:val="766"/>
    <w:next w:val="766"/>
    <w:link w:val="7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3">
    <w:name w:val="Heading 7"/>
    <w:basedOn w:val="766"/>
    <w:next w:val="766"/>
    <w:link w:val="7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766"/>
    <w:next w:val="766"/>
    <w:link w:val="7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5">
    <w:name w:val="Heading 9"/>
    <w:basedOn w:val="766"/>
    <w:next w:val="766"/>
    <w:link w:val="7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6" w:default="1">
    <w:name w:val="Default Paragraph Font"/>
    <w:uiPriority w:val="1"/>
    <w:semiHidden/>
    <w:unhideWhenUsed/>
  </w:style>
  <w:style w:type="table" w:styleId="7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8" w:default="1">
    <w:name w:val="No List"/>
    <w:uiPriority w:val="99"/>
    <w:semiHidden/>
    <w:unhideWhenUsed/>
  </w:style>
  <w:style w:type="character" w:styleId="779" w:customStyle="1">
    <w:name w:val="Heading 1 Char"/>
    <w:basedOn w:val="776"/>
    <w:uiPriority w:val="9"/>
    <w:rPr>
      <w:rFonts w:ascii="Arial" w:hAnsi="Arial" w:eastAsia="Arial" w:cs="Arial"/>
      <w:sz w:val="40"/>
      <w:szCs w:val="40"/>
    </w:rPr>
  </w:style>
  <w:style w:type="character" w:styleId="780" w:customStyle="1">
    <w:name w:val="Heading 2 Char"/>
    <w:basedOn w:val="776"/>
    <w:uiPriority w:val="9"/>
    <w:rPr>
      <w:rFonts w:ascii="Arial" w:hAnsi="Arial" w:eastAsia="Arial" w:cs="Arial"/>
      <w:sz w:val="34"/>
    </w:rPr>
  </w:style>
  <w:style w:type="character" w:styleId="781" w:customStyle="1">
    <w:name w:val="Heading 3 Char"/>
    <w:basedOn w:val="776"/>
    <w:uiPriority w:val="9"/>
    <w:rPr>
      <w:rFonts w:ascii="Arial" w:hAnsi="Arial" w:eastAsia="Arial" w:cs="Arial"/>
      <w:sz w:val="30"/>
      <w:szCs w:val="30"/>
    </w:rPr>
  </w:style>
  <w:style w:type="character" w:styleId="782" w:customStyle="1">
    <w:name w:val="Заголовок 4 Знак"/>
    <w:basedOn w:val="776"/>
    <w:link w:val="770"/>
    <w:uiPriority w:val="9"/>
    <w:rPr>
      <w:rFonts w:ascii="Arial" w:hAnsi="Arial" w:eastAsia="Arial" w:cs="Arial"/>
      <w:b/>
      <w:bCs/>
      <w:sz w:val="26"/>
      <w:szCs w:val="26"/>
    </w:rPr>
  </w:style>
  <w:style w:type="character" w:styleId="783" w:customStyle="1">
    <w:name w:val="Заголовок 5 Знак"/>
    <w:basedOn w:val="776"/>
    <w:link w:val="771"/>
    <w:uiPriority w:val="9"/>
    <w:rPr>
      <w:rFonts w:ascii="Arial" w:hAnsi="Arial" w:eastAsia="Arial" w:cs="Arial"/>
      <w:b/>
      <w:bCs/>
      <w:sz w:val="24"/>
      <w:szCs w:val="24"/>
    </w:rPr>
  </w:style>
  <w:style w:type="character" w:styleId="784" w:customStyle="1">
    <w:name w:val="Заголовок 6 Знак"/>
    <w:basedOn w:val="776"/>
    <w:link w:val="772"/>
    <w:uiPriority w:val="9"/>
    <w:rPr>
      <w:rFonts w:ascii="Arial" w:hAnsi="Arial" w:eastAsia="Arial" w:cs="Arial"/>
      <w:b/>
      <w:bCs/>
      <w:sz w:val="22"/>
      <w:szCs w:val="22"/>
    </w:rPr>
  </w:style>
  <w:style w:type="character" w:styleId="785" w:customStyle="1">
    <w:name w:val="Заголовок 7 Знак"/>
    <w:basedOn w:val="776"/>
    <w:link w:val="7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6" w:customStyle="1">
    <w:name w:val="Заголовок 8 Знак"/>
    <w:basedOn w:val="776"/>
    <w:link w:val="774"/>
    <w:uiPriority w:val="9"/>
    <w:rPr>
      <w:rFonts w:ascii="Arial" w:hAnsi="Arial" w:eastAsia="Arial" w:cs="Arial"/>
      <w:i/>
      <w:iCs/>
      <w:sz w:val="22"/>
      <w:szCs w:val="22"/>
    </w:rPr>
  </w:style>
  <w:style w:type="character" w:styleId="787" w:customStyle="1">
    <w:name w:val="Заголовок 9 Знак"/>
    <w:basedOn w:val="776"/>
    <w:link w:val="775"/>
    <w:uiPriority w:val="9"/>
    <w:rPr>
      <w:rFonts w:ascii="Arial" w:hAnsi="Arial" w:eastAsia="Arial" w:cs="Arial"/>
      <w:i/>
      <w:iCs/>
      <w:sz w:val="21"/>
      <w:szCs w:val="21"/>
    </w:rPr>
  </w:style>
  <w:style w:type="paragraph" w:styleId="788">
    <w:name w:val="No Spacing"/>
    <w:uiPriority w:val="1"/>
    <w:qFormat/>
  </w:style>
  <w:style w:type="character" w:styleId="789" w:customStyle="1">
    <w:name w:val="Title Char"/>
    <w:basedOn w:val="776"/>
    <w:uiPriority w:val="10"/>
    <w:rPr>
      <w:sz w:val="48"/>
      <w:szCs w:val="48"/>
    </w:rPr>
  </w:style>
  <w:style w:type="paragraph" w:styleId="790">
    <w:name w:val="Subtitle"/>
    <w:basedOn w:val="766"/>
    <w:next w:val="766"/>
    <w:link w:val="791"/>
    <w:uiPriority w:val="11"/>
    <w:qFormat/>
    <w:pPr>
      <w:spacing w:before="200" w:after="200"/>
    </w:pPr>
    <w:rPr>
      <w:sz w:val="24"/>
      <w:szCs w:val="24"/>
    </w:rPr>
  </w:style>
  <w:style w:type="character" w:styleId="791" w:customStyle="1">
    <w:name w:val="Подзаголовок Знак"/>
    <w:basedOn w:val="776"/>
    <w:link w:val="790"/>
    <w:uiPriority w:val="11"/>
    <w:rPr>
      <w:sz w:val="24"/>
      <w:szCs w:val="24"/>
    </w:rPr>
  </w:style>
  <w:style w:type="paragraph" w:styleId="792">
    <w:name w:val="Quote"/>
    <w:basedOn w:val="766"/>
    <w:next w:val="766"/>
    <w:link w:val="793"/>
    <w:uiPriority w:val="29"/>
    <w:qFormat/>
    <w:pPr>
      <w:ind w:left="720" w:right="720"/>
    </w:pPr>
    <w:rPr>
      <w:i/>
    </w:rPr>
  </w:style>
  <w:style w:type="character" w:styleId="793" w:customStyle="1">
    <w:name w:val="Цитата 2 Знак"/>
    <w:link w:val="792"/>
    <w:uiPriority w:val="29"/>
    <w:rPr>
      <w:i/>
    </w:rPr>
  </w:style>
  <w:style w:type="paragraph" w:styleId="794">
    <w:name w:val="Intense Quote"/>
    <w:basedOn w:val="766"/>
    <w:next w:val="766"/>
    <w:link w:val="7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5" w:customStyle="1">
    <w:name w:val="Выделенная цитата Знак"/>
    <w:link w:val="794"/>
    <w:uiPriority w:val="30"/>
    <w:rPr>
      <w:i/>
    </w:rPr>
  </w:style>
  <w:style w:type="character" w:styleId="796" w:customStyle="1">
    <w:name w:val="Верхний колонтитул Знак"/>
    <w:basedOn w:val="776"/>
    <w:link w:val="938"/>
    <w:uiPriority w:val="99"/>
  </w:style>
  <w:style w:type="character" w:styleId="797" w:customStyle="1">
    <w:name w:val="Footer Char"/>
    <w:basedOn w:val="776"/>
    <w:uiPriority w:val="99"/>
  </w:style>
  <w:style w:type="character" w:styleId="798" w:customStyle="1">
    <w:name w:val="Caption Char"/>
    <w:uiPriority w:val="99"/>
  </w:style>
  <w:style w:type="table" w:styleId="799" w:customStyle="1">
    <w:name w:val="Table Grid Light"/>
    <w:basedOn w:val="77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0">
    <w:name w:val="Plain Table 1"/>
    <w:basedOn w:val="77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2"/>
    <w:basedOn w:val="77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3"/>
    <w:basedOn w:val="7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>
    <w:name w:val="Plain Table 4"/>
    <w:basedOn w:val="7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Plain Table 5"/>
    <w:basedOn w:val="7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>
    <w:name w:val="Grid Table 1 Light"/>
    <w:basedOn w:val="77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1"/>
    <w:basedOn w:val="77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2"/>
    <w:basedOn w:val="77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3"/>
    <w:basedOn w:val="77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4"/>
    <w:basedOn w:val="77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5"/>
    <w:basedOn w:val="77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6"/>
    <w:basedOn w:val="77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2"/>
    <w:basedOn w:val="77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1"/>
    <w:basedOn w:val="77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2"/>
    <w:basedOn w:val="77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3"/>
    <w:basedOn w:val="77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4"/>
    <w:basedOn w:val="77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5"/>
    <w:basedOn w:val="77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6"/>
    <w:basedOn w:val="77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"/>
    <w:basedOn w:val="77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1"/>
    <w:basedOn w:val="77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2"/>
    <w:basedOn w:val="77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3"/>
    <w:basedOn w:val="77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4"/>
    <w:basedOn w:val="77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5"/>
    <w:basedOn w:val="77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6"/>
    <w:basedOn w:val="77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4"/>
    <w:basedOn w:val="77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Grid Table 4 - Accent 1"/>
    <w:basedOn w:val="77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8" w:customStyle="1">
    <w:name w:val="Grid Table 4 - Accent 2"/>
    <w:basedOn w:val="77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9" w:customStyle="1">
    <w:name w:val="Grid Table 4 - Accent 3"/>
    <w:basedOn w:val="77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0" w:customStyle="1">
    <w:name w:val="Grid Table 4 - Accent 4"/>
    <w:basedOn w:val="77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1" w:customStyle="1">
    <w:name w:val="Grid Table 4 - Accent 5"/>
    <w:basedOn w:val="77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Grid Table 4 - Accent 6"/>
    <w:basedOn w:val="77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3">
    <w:name w:val="Grid Table 5 Dark"/>
    <w:basedOn w:val="7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1"/>
    <w:basedOn w:val="7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2"/>
    <w:basedOn w:val="7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3"/>
    <w:basedOn w:val="7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4"/>
    <w:basedOn w:val="7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5"/>
    <w:basedOn w:val="7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6"/>
    <w:basedOn w:val="7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0">
    <w:name w:val="Grid Table 6 Colorful"/>
    <w:basedOn w:val="77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1" w:customStyle="1">
    <w:name w:val="Grid Table 6 Colorful - Accent 1"/>
    <w:basedOn w:val="77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2" w:customStyle="1">
    <w:name w:val="Grid Table 6 Colorful - Accent 2"/>
    <w:basedOn w:val="77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3" w:customStyle="1">
    <w:name w:val="Grid Table 6 Colorful - Accent 3"/>
    <w:basedOn w:val="77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4" w:customStyle="1">
    <w:name w:val="Grid Table 6 Colorful - Accent 4"/>
    <w:basedOn w:val="77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5" w:customStyle="1">
    <w:name w:val="Grid Table 6 Colorful - Accent 5"/>
    <w:basedOn w:val="77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6" w:customStyle="1">
    <w:name w:val="Grid Table 6 Colorful - Accent 6"/>
    <w:basedOn w:val="77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>
    <w:name w:val="Grid Table 7 Colorful"/>
    <w:basedOn w:val="77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1"/>
    <w:basedOn w:val="77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2"/>
    <w:basedOn w:val="77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3"/>
    <w:basedOn w:val="77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4"/>
    <w:basedOn w:val="77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5"/>
    <w:basedOn w:val="77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6"/>
    <w:basedOn w:val="77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"/>
    <w:basedOn w:val="77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1"/>
    <w:basedOn w:val="77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2"/>
    <w:basedOn w:val="77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3"/>
    <w:basedOn w:val="77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4"/>
    <w:basedOn w:val="77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5"/>
    <w:basedOn w:val="77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6"/>
    <w:basedOn w:val="77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2"/>
    <w:basedOn w:val="77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1"/>
    <w:basedOn w:val="77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2"/>
    <w:basedOn w:val="77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3"/>
    <w:basedOn w:val="77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4"/>
    <w:basedOn w:val="77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5"/>
    <w:basedOn w:val="77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6"/>
    <w:basedOn w:val="77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8">
    <w:name w:val="List Table 3"/>
    <w:basedOn w:val="77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1"/>
    <w:basedOn w:val="77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2"/>
    <w:basedOn w:val="77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3"/>
    <w:basedOn w:val="77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4"/>
    <w:basedOn w:val="77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5"/>
    <w:basedOn w:val="77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6"/>
    <w:basedOn w:val="77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"/>
    <w:basedOn w:val="77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1"/>
    <w:basedOn w:val="77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2"/>
    <w:basedOn w:val="77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3"/>
    <w:basedOn w:val="77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4"/>
    <w:basedOn w:val="77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5"/>
    <w:basedOn w:val="77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6"/>
    <w:basedOn w:val="77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5 Dark"/>
    <w:basedOn w:val="77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1"/>
    <w:basedOn w:val="77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2"/>
    <w:basedOn w:val="77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3"/>
    <w:basedOn w:val="77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4"/>
    <w:basedOn w:val="77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5"/>
    <w:basedOn w:val="77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6"/>
    <w:basedOn w:val="77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>
    <w:name w:val="List Table 6 Colorful"/>
    <w:basedOn w:val="77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0" w:customStyle="1">
    <w:name w:val="List Table 6 Colorful - Accent 1"/>
    <w:basedOn w:val="77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1" w:customStyle="1">
    <w:name w:val="List Table 6 Colorful - Accent 2"/>
    <w:basedOn w:val="77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2" w:customStyle="1">
    <w:name w:val="List Table 6 Colorful - Accent 3"/>
    <w:basedOn w:val="77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3" w:customStyle="1">
    <w:name w:val="List Table 6 Colorful - Accent 4"/>
    <w:basedOn w:val="77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4" w:customStyle="1">
    <w:name w:val="List Table 6 Colorful - Accent 5"/>
    <w:basedOn w:val="77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5" w:customStyle="1">
    <w:name w:val="List Table 6 Colorful - Accent 6"/>
    <w:basedOn w:val="77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6">
    <w:name w:val="List Table 7 Colorful"/>
    <w:basedOn w:val="77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1"/>
    <w:basedOn w:val="77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2"/>
    <w:basedOn w:val="77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3"/>
    <w:basedOn w:val="77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4"/>
    <w:basedOn w:val="77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5"/>
    <w:basedOn w:val="77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6"/>
    <w:basedOn w:val="77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ned - Accent"/>
    <w:basedOn w:val="7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4" w:customStyle="1">
    <w:name w:val="Lined - Accent 1"/>
    <w:basedOn w:val="7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5" w:customStyle="1">
    <w:name w:val="Lined - Accent 2"/>
    <w:basedOn w:val="7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6" w:customStyle="1">
    <w:name w:val="Lined - Accent 3"/>
    <w:basedOn w:val="7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7" w:customStyle="1">
    <w:name w:val="Lined - Accent 4"/>
    <w:basedOn w:val="7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8" w:customStyle="1">
    <w:name w:val="Lined - Accent 5"/>
    <w:basedOn w:val="7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9" w:customStyle="1">
    <w:name w:val="Lined - Accent 6"/>
    <w:basedOn w:val="7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0" w:customStyle="1">
    <w:name w:val="Bordered &amp; Lined - Accent"/>
    <w:basedOn w:val="77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Bordered &amp; Lined - Accent 1"/>
    <w:basedOn w:val="77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2" w:customStyle="1">
    <w:name w:val="Bordered &amp; Lined - Accent 2"/>
    <w:basedOn w:val="77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3" w:customStyle="1">
    <w:name w:val="Bordered &amp; Lined - Accent 3"/>
    <w:basedOn w:val="77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4" w:customStyle="1">
    <w:name w:val="Bordered &amp; Lined - Accent 4"/>
    <w:basedOn w:val="77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5" w:customStyle="1">
    <w:name w:val="Bordered &amp; Lined - Accent 5"/>
    <w:basedOn w:val="77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6" w:customStyle="1">
    <w:name w:val="Bordered &amp; Lined - Accent 6"/>
    <w:basedOn w:val="77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7" w:customStyle="1">
    <w:name w:val="Bordered"/>
    <w:basedOn w:val="77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8" w:customStyle="1">
    <w:name w:val="Bordered - Accent 1"/>
    <w:basedOn w:val="77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9" w:customStyle="1">
    <w:name w:val="Bordered - Accent 2"/>
    <w:basedOn w:val="77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0" w:customStyle="1">
    <w:name w:val="Bordered - Accent 3"/>
    <w:basedOn w:val="77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1" w:customStyle="1">
    <w:name w:val="Bordered - Accent 4"/>
    <w:basedOn w:val="77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2" w:customStyle="1">
    <w:name w:val="Bordered - Accent 5"/>
    <w:basedOn w:val="77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3" w:customStyle="1">
    <w:name w:val="Bordered - Accent 6"/>
    <w:basedOn w:val="77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4" w:customStyle="1">
    <w:name w:val="Footnote Text Char"/>
    <w:uiPriority w:val="99"/>
    <w:rPr>
      <w:sz w:val="18"/>
    </w:rPr>
  </w:style>
  <w:style w:type="character" w:styleId="925" w:customStyle="1">
    <w:name w:val="Endnote Text Char"/>
    <w:uiPriority w:val="99"/>
    <w:rPr>
      <w:sz w:val="20"/>
    </w:rPr>
  </w:style>
  <w:style w:type="paragraph" w:styleId="926">
    <w:name w:val="toc 1"/>
    <w:basedOn w:val="766"/>
    <w:next w:val="766"/>
    <w:uiPriority w:val="39"/>
    <w:unhideWhenUsed/>
    <w:pPr>
      <w:ind w:firstLine="0"/>
      <w:spacing w:after="57"/>
    </w:pPr>
  </w:style>
  <w:style w:type="paragraph" w:styleId="927">
    <w:name w:val="toc 2"/>
    <w:basedOn w:val="766"/>
    <w:next w:val="766"/>
    <w:uiPriority w:val="39"/>
    <w:unhideWhenUsed/>
    <w:pPr>
      <w:ind w:left="283" w:firstLine="0"/>
      <w:spacing w:after="57"/>
    </w:pPr>
  </w:style>
  <w:style w:type="paragraph" w:styleId="928">
    <w:name w:val="toc 3"/>
    <w:basedOn w:val="766"/>
    <w:next w:val="766"/>
    <w:uiPriority w:val="39"/>
    <w:unhideWhenUsed/>
    <w:pPr>
      <w:ind w:left="567" w:firstLine="0"/>
      <w:spacing w:after="57"/>
    </w:pPr>
  </w:style>
  <w:style w:type="paragraph" w:styleId="929">
    <w:name w:val="toc 4"/>
    <w:basedOn w:val="766"/>
    <w:next w:val="766"/>
    <w:uiPriority w:val="39"/>
    <w:unhideWhenUsed/>
    <w:pPr>
      <w:ind w:left="850" w:firstLine="0"/>
      <w:spacing w:after="57"/>
    </w:pPr>
  </w:style>
  <w:style w:type="paragraph" w:styleId="930">
    <w:name w:val="toc 5"/>
    <w:basedOn w:val="766"/>
    <w:next w:val="766"/>
    <w:uiPriority w:val="39"/>
    <w:unhideWhenUsed/>
    <w:pPr>
      <w:ind w:left="1134" w:firstLine="0"/>
      <w:spacing w:after="57"/>
    </w:pPr>
  </w:style>
  <w:style w:type="paragraph" w:styleId="931">
    <w:name w:val="toc 6"/>
    <w:basedOn w:val="766"/>
    <w:next w:val="766"/>
    <w:uiPriority w:val="39"/>
    <w:unhideWhenUsed/>
    <w:pPr>
      <w:ind w:left="1417" w:firstLine="0"/>
      <w:spacing w:after="57"/>
    </w:pPr>
  </w:style>
  <w:style w:type="paragraph" w:styleId="932">
    <w:name w:val="toc 7"/>
    <w:basedOn w:val="766"/>
    <w:next w:val="766"/>
    <w:uiPriority w:val="39"/>
    <w:unhideWhenUsed/>
    <w:pPr>
      <w:ind w:left="1701" w:firstLine="0"/>
      <w:spacing w:after="57"/>
    </w:pPr>
  </w:style>
  <w:style w:type="paragraph" w:styleId="933">
    <w:name w:val="toc 8"/>
    <w:basedOn w:val="766"/>
    <w:next w:val="766"/>
    <w:uiPriority w:val="39"/>
    <w:unhideWhenUsed/>
    <w:pPr>
      <w:ind w:left="1984" w:firstLine="0"/>
      <w:spacing w:after="57"/>
    </w:pPr>
  </w:style>
  <w:style w:type="paragraph" w:styleId="934">
    <w:name w:val="toc 9"/>
    <w:basedOn w:val="766"/>
    <w:next w:val="766"/>
    <w:uiPriority w:val="39"/>
    <w:unhideWhenUsed/>
    <w:pPr>
      <w:ind w:left="2268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766"/>
    <w:next w:val="766"/>
    <w:uiPriority w:val="99"/>
    <w:unhideWhenUsed/>
  </w:style>
  <w:style w:type="paragraph" w:styleId="937">
    <w:name w:val="Body Text 3"/>
    <w:basedOn w:val="766"/>
    <w:link w:val="972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38">
    <w:name w:val="Header"/>
    <w:basedOn w:val="766"/>
    <w:link w:val="796"/>
    <w:pPr>
      <w:tabs>
        <w:tab w:val="center" w:pos="4677" w:leader="none"/>
        <w:tab w:val="right" w:pos="9355" w:leader="none"/>
      </w:tabs>
    </w:pPr>
  </w:style>
  <w:style w:type="paragraph" w:styleId="939">
    <w:name w:val="Body Text"/>
    <w:basedOn w:val="766"/>
    <w:pPr>
      <w:spacing w:after="120"/>
    </w:pPr>
  </w:style>
  <w:style w:type="paragraph" w:styleId="940" w:customStyle="1">
    <w:name w:val="Style1"/>
    <w:basedOn w:val="766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41">
    <w:name w:val="Body Text 2"/>
    <w:basedOn w:val="766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42" w:customStyle="1">
    <w:name w:val="Знак"/>
    <w:basedOn w:val="76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3">
    <w:name w:val="footnote text"/>
    <w:basedOn w:val="766"/>
    <w:link w:val="988"/>
    <w:pPr>
      <w:ind w:firstLine="0"/>
      <w:jc w:val="left"/>
      <w:spacing w:line="240" w:lineRule="auto"/>
    </w:pPr>
    <w:rPr>
      <w:sz w:val="20"/>
      <w:szCs w:val="20"/>
    </w:rPr>
  </w:style>
  <w:style w:type="character" w:styleId="944">
    <w:name w:val="footnote reference"/>
    <w:rPr>
      <w:vertAlign w:val="superscript"/>
    </w:rPr>
  </w:style>
  <w:style w:type="table" w:styleId="945">
    <w:name w:val="Table Grid"/>
    <w:basedOn w:val="777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6" w:customStyle="1">
    <w:name w:val="Знак Знак Знак Знак Знак Знак Знак"/>
    <w:basedOn w:val="76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7" w:customStyle="1">
    <w:name w:val="Знак2"/>
    <w:basedOn w:val="76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8" w:customStyle="1">
    <w:name w:val="Знак Знак Знак Знак Знак Знак Знак Знак Знак"/>
    <w:basedOn w:val="766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49" w:customStyle="1">
    <w:name w:val="Пункт договора"/>
    <w:basedOn w:val="766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50" w:customStyle="1">
    <w:name w:val="Подпункт договора"/>
    <w:basedOn w:val="766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51">
    <w:name w:val="Body Text Indent 3"/>
    <w:basedOn w:val="766"/>
    <w:pPr>
      <w:ind w:left="283"/>
      <w:spacing w:after="120"/>
    </w:pPr>
    <w:rPr>
      <w:sz w:val="16"/>
      <w:szCs w:val="16"/>
    </w:rPr>
  </w:style>
  <w:style w:type="character" w:styleId="952" w:customStyle="1">
    <w:name w:val="Заголовок 3 Знак"/>
    <w:link w:val="769"/>
    <w:rPr>
      <w:b/>
      <w:sz w:val="28"/>
    </w:rPr>
  </w:style>
  <w:style w:type="paragraph" w:styleId="953">
    <w:name w:val="List Paragraph"/>
    <w:basedOn w:val="766"/>
    <w:link w:val="99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54" w:customStyle="1">
    <w:name w:val="1. Статья"/>
    <w:basedOn w:val="769"/>
    <w:link w:val="961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55" w:customStyle="1">
    <w:name w:val="2. Пункт"/>
    <w:basedOn w:val="769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56" w:customStyle="1">
    <w:name w:val="3. Подпункт"/>
    <w:basedOn w:val="769"/>
    <w:link w:val="957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57" w:customStyle="1">
    <w:name w:val="3. Подпункт Знак"/>
    <w:link w:val="956"/>
    <w:rPr>
      <w:b/>
      <w:bCs/>
      <w:sz w:val="24"/>
      <w:szCs w:val="24"/>
    </w:rPr>
  </w:style>
  <w:style w:type="paragraph" w:styleId="95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59">
    <w:name w:val="Balloon Text"/>
    <w:basedOn w:val="766"/>
    <w:link w:val="960"/>
    <w:pPr>
      <w:spacing w:line="240" w:lineRule="auto"/>
    </w:pPr>
    <w:rPr>
      <w:rFonts w:ascii="Tahoma" w:hAnsi="Tahoma"/>
      <w:sz w:val="16"/>
      <w:szCs w:val="16"/>
    </w:rPr>
  </w:style>
  <w:style w:type="character" w:styleId="960" w:customStyle="1">
    <w:name w:val="Текст выноски Знак"/>
    <w:link w:val="959"/>
    <w:rPr>
      <w:rFonts w:ascii="Tahoma" w:hAnsi="Tahoma" w:cs="Tahoma"/>
      <w:sz w:val="16"/>
      <w:szCs w:val="16"/>
    </w:rPr>
  </w:style>
  <w:style w:type="character" w:styleId="961" w:customStyle="1">
    <w:name w:val="1. Статья Знак"/>
    <w:link w:val="954"/>
    <w:rPr>
      <w:sz w:val="24"/>
      <w:szCs w:val="24"/>
    </w:rPr>
  </w:style>
  <w:style w:type="paragraph" w:styleId="962" w:customStyle="1">
    <w:name w:val="4. Отчерк"/>
    <w:basedOn w:val="766"/>
    <w:link w:val="96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63" w:customStyle="1">
    <w:name w:val="4. Отчерк Знак"/>
    <w:link w:val="962"/>
    <w:rPr>
      <w:sz w:val="24"/>
      <w:szCs w:val="24"/>
    </w:rPr>
  </w:style>
  <w:style w:type="character" w:styleId="964">
    <w:name w:val="annotation reference"/>
    <w:rPr>
      <w:sz w:val="16"/>
      <w:szCs w:val="16"/>
    </w:rPr>
  </w:style>
  <w:style w:type="paragraph" w:styleId="965">
    <w:name w:val="annotation text"/>
    <w:basedOn w:val="766"/>
    <w:link w:val="966"/>
    <w:pPr>
      <w:spacing w:line="240" w:lineRule="auto"/>
    </w:pPr>
    <w:rPr>
      <w:sz w:val="20"/>
      <w:szCs w:val="20"/>
    </w:rPr>
  </w:style>
  <w:style w:type="character" w:styleId="966" w:customStyle="1">
    <w:name w:val="Текст примечания Знак"/>
    <w:link w:val="965"/>
  </w:style>
  <w:style w:type="paragraph" w:styleId="967">
    <w:name w:val="annotation subject"/>
    <w:basedOn w:val="965"/>
    <w:next w:val="965"/>
    <w:link w:val="968"/>
    <w:rPr>
      <w:b/>
      <w:bCs/>
    </w:rPr>
  </w:style>
  <w:style w:type="character" w:styleId="968" w:customStyle="1">
    <w:name w:val="Тема примечания Знак"/>
    <w:link w:val="967"/>
    <w:rPr>
      <w:b/>
      <w:bCs/>
    </w:rPr>
  </w:style>
  <w:style w:type="paragraph" w:styleId="969">
    <w:name w:val="Footer"/>
    <w:basedOn w:val="766"/>
    <w:link w:val="970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70" w:customStyle="1">
    <w:name w:val="Нижний колонтитул Знак"/>
    <w:link w:val="969"/>
    <w:uiPriority w:val="99"/>
    <w:rPr>
      <w:sz w:val="28"/>
      <w:szCs w:val="28"/>
    </w:rPr>
  </w:style>
  <w:style w:type="paragraph" w:styleId="971">
    <w:name w:val="Revision"/>
    <w:hidden/>
    <w:uiPriority w:val="99"/>
    <w:semiHidden/>
    <w:rPr>
      <w:sz w:val="28"/>
      <w:szCs w:val="28"/>
    </w:rPr>
  </w:style>
  <w:style w:type="character" w:styleId="972" w:customStyle="1">
    <w:name w:val="Основной текст 3 Знак"/>
    <w:link w:val="937"/>
    <w:rPr>
      <w:color w:val="0000ff"/>
      <w:sz w:val="24"/>
      <w:szCs w:val="24"/>
      <w:lang w:eastAsia="en-US"/>
    </w:rPr>
  </w:style>
  <w:style w:type="paragraph" w:styleId="973">
    <w:name w:val="Title"/>
    <w:basedOn w:val="766"/>
    <w:link w:val="974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74" w:customStyle="1">
    <w:name w:val="Заголовок Знак"/>
    <w:link w:val="973"/>
    <w:rPr>
      <w:b/>
      <w:sz w:val="22"/>
      <w:szCs w:val="22"/>
      <w:shd w:val="clear" w:color="auto" w:fill="ffffff"/>
    </w:rPr>
  </w:style>
  <w:style w:type="character" w:styleId="975" w:customStyle="1">
    <w:name w:val="Заголовок 1 Знак"/>
    <w:link w:val="767"/>
    <w:rPr>
      <w:rFonts w:ascii="Cambria" w:hAnsi="Cambria" w:eastAsia="Times New Roman" w:cs="Times New Roman"/>
      <w:b/>
      <w:bCs/>
      <w:sz w:val="32"/>
      <w:szCs w:val="32"/>
    </w:rPr>
  </w:style>
  <w:style w:type="character" w:styleId="976" w:customStyle="1">
    <w:name w:val="Заголовок 2 Знак"/>
    <w:link w:val="76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77">
    <w:name w:val="Body Text Indent"/>
    <w:basedOn w:val="766"/>
    <w:link w:val="978"/>
    <w:pPr>
      <w:ind w:left="283"/>
      <w:spacing w:after="120"/>
    </w:pPr>
  </w:style>
  <w:style w:type="character" w:styleId="978" w:customStyle="1">
    <w:name w:val="Основной текст с отступом Знак"/>
    <w:link w:val="977"/>
    <w:rPr>
      <w:sz w:val="28"/>
      <w:szCs w:val="28"/>
    </w:rPr>
  </w:style>
  <w:style w:type="paragraph" w:styleId="979" w:customStyle="1">
    <w:name w:val="Пункт 3.3.3"/>
    <w:basedOn w:val="766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80" w:customStyle="1">
    <w:name w:val="Заглавие"/>
    <w:basedOn w:val="766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81">
    <w:name w:val="Caption"/>
    <w:basedOn w:val="766"/>
    <w:next w:val="766"/>
    <w:link w:val="79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82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83" w:customStyle="1">
    <w:name w:val="Знак1"/>
    <w:basedOn w:val="76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Контракт-раздел"/>
    <w:basedOn w:val="766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85" w:customStyle="1">
    <w:name w:val="Контракт-пункт"/>
    <w:basedOn w:val="766"/>
    <w:pPr>
      <w:numPr>
        <w:ilvl w:val="1"/>
        <w:numId w:val="4"/>
      </w:numPr>
    </w:pPr>
  </w:style>
  <w:style w:type="paragraph" w:styleId="986" w:customStyle="1">
    <w:name w:val="Контракт-подпункт"/>
    <w:basedOn w:val="766"/>
    <w:pPr>
      <w:numPr>
        <w:ilvl w:val="2"/>
        <w:numId w:val="4"/>
      </w:numPr>
    </w:pPr>
  </w:style>
  <w:style w:type="paragraph" w:styleId="987" w:customStyle="1">
    <w:name w:val="Контракт-подподпункт"/>
    <w:basedOn w:val="766"/>
    <w:pPr>
      <w:numPr>
        <w:ilvl w:val="3"/>
        <w:numId w:val="4"/>
      </w:numPr>
    </w:pPr>
  </w:style>
  <w:style w:type="character" w:styleId="988" w:customStyle="1">
    <w:name w:val="Текст сноски Знак"/>
    <w:link w:val="943"/>
  </w:style>
  <w:style w:type="character" w:styleId="989">
    <w:name w:val="Hyperlink"/>
    <w:unhideWhenUsed/>
    <w:rPr>
      <w:color w:val="0000ff"/>
      <w:u w:val="single"/>
    </w:rPr>
  </w:style>
  <w:style w:type="paragraph" w:styleId="990">
    <w:name w:val="endnote text"/>
    <w:basedOn w:val="766"/>
    <w:link w:val="991"/>
    <w:uiPriority w:val="99"/>
    <w:semiHidden/>
    <w:unhideWhenUsed/>
    <w:rPr>
      <w:sz w:val="20"/>
      <w:szCs w:val="20"/>
    </w:rPr>
  </w:style>
  <w:style w:type="character" w:styleId="991" w:customStyle="1">
    <w:name w:val="Текст концевой сноски Знак"/>
    <w:link w:val="990"/>
    <w:uiPriority w:val="99"/>
    <w:semiHidden/>
  </w:style>
  <w:style w:type="character" w:styleId="992">
    <w:name w:val="endnote reference"/>
    <w:uiPriority w:val="99"/>
    <w:semiHidden/>
    <w:unhideWhenUsed/>
    <w:rPr>
      <w:vertAlign w:val="superscript"/>
    </w:rPr>
  </w:style>
  <w:style w:type="character" w:styleId="993" w:customStyle="1">
    <w:name w:val="Абзац списка Знак"/>
    <w:link w:val="953"/>
    <w:uiPriority w:val="34"/>
    <w:rPr>
      <w:sz w:val="24"/>
      <w:szCs w:val="24"/>
    </w:rPr>
  </w:style>
  <w:style w:type="paragraph" w:styleId="994" w:customStyle="1">
    <w:name w:val="western"/>
    <w:qFormat/>
    <w:pPr>
      <w:spacing w:beforeAutospacing="1" w:after="142" w:line="288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a"/>
      <w:sz w:val="24"/>
      <w:szCs w:val="24"/>
    </w:rPr>
  </w:style>
  <w:style w:type="paragraph" w:styleId="995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8FD398-B798-4006-BE5E-177FDC7B3A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B23A89-960C-433E-8770-E4084F6A0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258912-A860-4625-B7F6-93D124AA8AD6}">
  <ds:schemaRefs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tayurskaya_ia</cp:lastModifiedBy>
  <cp:revision>8</cp:revision>
  <dcterms:created xsi:type="dcterms:W3CDTF">2026-07-07T03:09:00Z</dcterms:created>
  <dcterms:modified xsi:type="dcterms:W3CDTF">2026-07-16T01:19:27Z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